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457" w:rsidRDefault="004A3457" w:rsidP="004A3457">
      <w:pPr>
        <w:spacing w:line="480" w:lineRule="auto"/>
        <w:jc w:val="center"/>
        <w:rPr>
          <w:rFonts w:ascii="Times New Roman" w:hAnsi="Times New Roman" w:cs="Times New Roman"/>
          <w:sz w:val="24"/>
          <w:szCs w:val="24"/>
        </w:rPr>
      </w:pPr>
      <w:bookmarkStart w:id="0" w:name="_GoBack"/>
      <w:bookmarkEnd w:id="0"/>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p>
    <w:p w:rsidR="004A3457" w:rsidRDefault="004A3457" w:rsidP="004A3457">
      <w:pPr>
        <w:spacing w:line="480" w:lineRule="auto"/>
        <w:jc w:val="center"/>
        <w:rPr>
          <w:rFonts w:ascii="Times New Roman" w:hAnsi="Times New Roman" w:cs="Times New Roman"/>
          <w:sz w:val="24"/>
          <w:szCs w:val="24"/>
        </w:rPr>
      </w:pPr>
      <w:r w:rsidRPr="004A3457">
        <w:rPr>
          <w:rFonts w:ascii="Times New Roman" w:hAnsi="Times New Roman" w:cs="Times New Roman"/>
          <w:sz w:val="24"/>
          <w:szCs w:val="24"/>
        </w:rPr>
        <w:t>Customer Focus</w:t>
      </w:r>
    </w:p>
    <w:p w:rsidR="004A3457" w:rsidRDefault="004A3457" w:rsidP="004A34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A3457" w:rsidRDefault="004A3457" w:rsidP="004A34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A3457" w:rsidRDefault="004A3457" w:rsidP="004A34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4D7412" w:rsidRPr="004A3457" w:rsidRDefault="004D7412" w:rsidP="008C2711">
      <w:pPr>
        <w:spacing w:line="480" w:lineRule="auto"/>
        <w:jc w:val="center"/>
        <w:rPr>
          <w:rFonts w:ascii="Times New Roman" w:hAnsi="Times New Roman" w:cs="Times New Roman"/>
          <w:sz w:val="24"/>
          <w:szCs w:val="24"/>
        </w:rPr>
      </w:pPr>
      <w:r w:rsidRPr="004A3457">
        <w:rPr>
          <w:rFonts w:ascii="Times New Roman" w:hAnsi="Times New Roman" w:cs="Times New Roman"/>
          <w:sz w:val="24"/>
          <w:szCs w:val="24"/>
        </w:rPr>
        <w:lastRenderedPageBreak/>
        <w:t>Custo</w:t>
      </w:r>
      <w:r w:rsidR="004A3457">
        <w:rPr>
          <w:rFonts w:ascii="Times New Roman" w:hAnsi="Times New Roman" w:cs="Times New Roman"/>
          <w:sz w:val="24"/>
          <w:szCs w:val="24"/>
        </w:rPr>
        <w:t>mer F</w:t>
      </w:r>
      <w:r w:rsidRPr="004A3457">
        <w:rPr>
          <w:rFonts w:ascii="Times New Roman" w:hAnsi="Times New Roman" w:cs="Times New Roman"/>
          <w:sz w:val="24"/>
          <w:szCs w:val="24"/>
        </w:rPr>
        <w:t>ocus</w:t>
      </w:r>
    </w:p>
    <w:p w:rsidR="008C2711" w:rsidRPr="008C2711" w:rsidRDefault="008C2711" w:rsidP="008C2711">
      <w:pPr>
        <w:spacing w:line="480" w:lineRule="auto"/>
        <w:ind w:firstLine="720"/>
        <w:rPr>
          <w:rFonts w:ascii="Times New Roman" w:hAnsi="Times New Roman" w:cs="Times New Roman"/>
          <w:sz w:val="24"/>
          <w:szCs w:val="24"/>
        </w:rPr>
      </w:pPr>
      <w:r w:rsidRPr="008C2711">
        <w:rPr>
          <w:rFonts w:ascii="Times New Roman" w:hAnsi="Times New Roman" w:cs="Times New Roman"/>
          <w:sz w:val="24"/>
          <w:szCs w:val="24"/>
        </w:rPr>
        <w:t>Customer focus is a critical category in the Baldrige performance criteria. It examines how organizations identify the expectations and requirements of markets and customers. It also seeks to build close relationships with customers such that they are satisfied and retained. When an organization focuses on the customer, it can establish a mutual agreement, which is used to increase more profits and revenue (Eastman, 2012). Also, it is imperative to ensure that the organization accommodates a customer-oriented mindset as well as customer-oriented behaviour. Customer foc</w:t>
      </w:r>
      <w:r>
        <w:rPr>
          <w:rFonts w:ascii="Times New Roman" w:hAnsi="Times New Roman" w:cs="Times New Roman"/>
          <w:sz w:val="24"/>
          <w:szCs w:val="24"/>
        </w:rPr>
        <w:t xml:space="preserve">us will be examined using </w:t>
      </w:r>
      <w:r w:rsidRPr="008C2711">
        <w:rPr>
          <w:rFonts w:ascii="Times New Roman" w:hAnsi="Times New Roman" w:cs="Times New Roman"/>
          <w:sz w:val="24"/>
          <w:szCs w:val="24"/>
        </w:rPr>
        <w:t xml:space="preserve">similarities </w:t>
      </w:r>
      <w:r>
        <w:rPr>
          <w:rFonts w:ascii="Times New Roman" w:hAnsi="Times New Roman" w:cs="Times New Roman"/>
          <w:sz w:val="24"/>
          <w:szCs w:val="24"/>
        </w:rPr>
        <w:t xml:space="preserve">in the two texts </w:t>
      </w:r>
      <w:r w:rsidRPr="008C2711">
        <w:rPr>
          <w:rFonts w:ascii="Times New Roman" w:hAnsi="Times New Roman" w:cs="Times New Roman"/>
          <w:sz w:val="24"/>
          <w:szCs w:val="24"/>
        </w:rPr>
        <w:t>such as the voice of the customer and use o</w:t>
      </w:r>
      <w:r>
        <w:rPr>
          <w:rFonts w:ascii="Times New Roman" w:hAnsi="Times New Roman" w:cs="Times New Roman"/>
          <w:sz w:val="24"/>
          <w:szCs w:val="24"/>
        </w:rPr>
        <w:t>f SWOT analysis</w:t>
      </w:r>
      <w:r w:rsidRPr="008C2711">
        <w:rPr>
          <w:rFonts w:ascii="Times New Roman" w:hAnsi="Times New Roman" w:cs="Times New Roman"/>
          <w:sz w:val="24"/>
          <w:szCs w:val="24"/>
        </w:rPr>
        <w:t xml:space="preserve"> and </w:t>
      </w:r>
      <w:r>
        <w:rPr>
          <w:rFonts w:ascii="Times New Roman" w:hAnsi="Times New Roman" w:cs="Times New Roman"/>
          <w:sz w:val="24"/>
          <w:szCs w:val="24"/>
        </w:rPr>
        <w:t xml:space="preserve">the difference of </w:t>
      </w:r>
      <w:r w:rsidRPr="008C2711">
        <w:rPr>
          <w:rFonts w:ascii="Times New Roman" w:hAnsi="Times New Roman" w:cs="Times New Roman"/>
          <w:sz w:val="24"/>
          <w:szCs w:val="24"/>
        </w:rPr>
        <w:t xml:space="preserve">the need to build relationships as highlighted in Tillingate Living Study and the use of </w:t>
      </w:r>
      <w:r>
        <w:rPr>
          <w:rFonts w:ascii="Times New Roman" w:hAnsi="Times New Roman" w:cs="Times New Roman"/>
          <w:sz w:val="24"/>
          <w:szCs w:val="24"/>
        </w:rPr>
        <w:t>technology for Harrison text as well as</w:t>
      </w:r>
      <w:r w:rsidRPr="008C2711">
        <w:rPr>
          <w:rFonts w:ascii="Times New Roman" w:hAnsi="Times New Roman" w:cs="Times New Roman"/>
          <w:sz w:val="24"/>
          <w:szCs w:val="24"/>
        </w:rPr>
        <w:t xml:space="preserve"> positives such as customer satisfaction and voice of the customer and opportunities such as customer engagement and effective management.</w:t>
      </w:r>
    </w:p>
    <w:p w:rsidR="008C2711" w:rsidRPr="008C2711" w:rsidRDefault="008C2711" w:rsidP="008C2711">
      <w:pPr>
        <w:spacing w:line="480" w:lineRule="auto"/>
        <w:ind w:firstLine="720"/>
        <w:rPr>
          <w:rFonts w:ascii="Times New Roman" w:hAnsi="Times New Roman" w:cs="Times New Roman"/>
          <w:sz w:val="24"/>
          <w:szCs w:val="24"/>
        </w:rPr>
      </w:pPr>
      <w:r w:rsidRPr="008C2711">
        <w:rPr>
          <w:rFonts w:ascii="Times New Roman" w:hAnsi="Times New Roman" w:cs="Times New Roman"/>
          <w:sz w:val="24"/>
          <w:szCs w:val="24"/>
        </w:rPr>
        <w:t xml:space="preserve">Upon reviewing the Harrison text and Tillingate Living Study, there are similarities and differences concerning customer focus in an organization. One similarity between the Harrison text and Tillingate Living Study is the acknowledgment of the voice of the customer. For TL, it is fundamental to ensure that the organization have a proper understanding of the requirements as well as the expectations of customers. Organizations should also seek to provide quality services to customers as a way of motivating or encouraging them to continue conducting business. Organizations should also launch communication with customers using face-face and electronic means. As a result, the organization can provide customer-centred services to its services. For Harrison's text, customer focus is also emphasized in the context of healthcare. It is fundamental to ensure patient-centred care using technology innovations such as Telehealth (Harrison &amp; Association of University Programs in Health Administration, 2016). In this case, Telehealth </w:t>
      </w:r>
      <w:r w:rsidRPr="008C2711">
        <w:rPr>
          <w:rFonts w:ascii="Times New Roman" w:hAnsi="Times New Roman" w:cs="Times New Roman"/>
          <w:sz w:val="24"/>
          <w:szCs w:val="24"/>
        </w:rPr>
        <w:lastRenderedPageBreak/>
        <w:t>enables healthcare givers to provide care based on the preferences and needs of patients. As a result, there is the creation of an ongoing connection between healthcare givers and patients. Both texts show that an organization will grow and expand after providing customer focus services.</w:t>
      </w:r>
    </w:p>
    <w:p w:rsidR="008C2711" w:rsidRPr="008C2711" w:rsidRDefault="008C2711" w:rsidP="008C2711">
      <w:pPr>
        <w:spacing w:line="480" w:lineRule="auto"/>
        <w:ind w:firstLine="720"/>
        <w:rPr>
          <w:rFonts w:ascii="Times New Roman" w:hAnsi="Times New Roman" w:cs="Times New Roman"/>
          <w:sz w:val="24"/>
          <w:szCs w:val="24"/>
        </w:rPr>
      </w:pPr>
      <w:r w:rsidRPr="008C2711">
        <w:rPr>
          <w:rFonts w:ascii="Times New Roman" w:hAnsi="Times New Roman" w:cs="Times New Roman"/>
          <w:sz w:val="24"/>
          <w:szCs w:val="24"/>
        </w:rPr>
        <w:t>Another similarity between the Harrison text and Tillingate Living Study in custom focus is the use of SWOT analysis. The SWOT analysis can be used by organizations to ensure that all services benefit the customers. On the same note, organizations should seek to use their strengths for the benefit of the customers. For TL, interviewing community members to provide feedback in regards to the types and quality of services or products offered. Feedback is vital since organizational managers can reflect and study what customers want as well as the entire market (Harrison &amp; Association of University Programs in Health Administration, 2016). For Harrison Text, one strength is to ensure that community-oriented health is provided. In this case, feedback will be vital since patient-centred care will be provided. For that reason, customers in businesses and clients in healthcare facilities will receive service based on their needs.</w:t>
      </w:r>
    </w:p>
    <w:p w:rsidR="008C2711" w:rsidRPr="008C2711" w:rsidRDefault="008C2711" w:rsidP="008C2711">
      <w:pPr>
        <w:spacing w:line="480" w:lineRule="auto"/>
        <w:ind w:firstLine="720"/>
        <w:rPr>
          <w:rFonts w:ascii="Times New Roman" w:hAnsi="Times New Roman" w:cs="Times New Roman"/>
          <w:sz w:val="24"/>
          <w:szCs w:val="24"/>
        </w:rPr>
      </w:pPr>
      <w:r w:rsidRPr="008C2711">
        <w:rPr>
          <w:rFonts w:ascii="Times New Roman" w:hAnsi="Times New Roman" w:cs="Times New Roman"/>
          <w:sz w:val="24"/>
          <w:szCs w:val="24"/>
        </w:rPr>
        <w:t>Contrary, Tillingate Living Study emphasizes the need to build relationships while Harrison text backs the use of technology as far as customer focus is concerned. The use of relationships may be vital towards providing services that are along with the preferences and needs of the patient (Eastman, 2012). Strong relationships will ensure better communication, and this will ensure that organizational managers focus on the customer’s needs. On the other hand, Harrison's text emphasizes the importance of technology. Through healthcare informatics, healthcare providers can provide patient-centred care for all patients. As such, they can access the needs of patients before providing care.</w:t>
      </w:r>
    </w:p>
    <w:p w:rsidR="008C2711" w:rsidRDefault="008C2711" w:rsidP="008C2711">
      <w:pPr>
        <w:spacing w:line="480" w:lineRule="auto"/>
        <w:rPr>
          <w:rFonts w:ascii="Times New Roman" w:hAnsi="Times New Roman" w:cs="Times New Roman"/>
          <w:sz w:val="24"/>
          <w:szCs w:val="24"/>
        </w:rPr>
      </w:pPr>
    </w:p>
    <w:p w:rsidR="008C2711" w:rsidRPr="008C2711" w:rsidRDefault="00CB62F6" w:rsidP="008C27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Tillingate Living Case Study</w:t>
      </w:r>
      <w:r w:rsidR="008C2711" w:rsidRPr="008C2711">
        <w:rPr>
          <w:rFonts w:ascii="Times New Roman" w:hAnsi="Times New Roman" w:cs="Times New Roman"/>
          <w:b/>
          <w:sz w:val="24"/>
          <w:szCs w:val="24"/>
        </w:rPr>
        <w:t xml:space="preserve"> Positives and Opportunities in Customer Focus</w:t>
      </w:r>
    </w:p>
    <w:p w:rsidR="006F03F5" w:rsidRPr="004A3457" w:rsidRDefault="008C2711" w:rsidP="00BF01F9">
      <w:pPr>
        <w:spacing w:line="480" w:lineRule="auto"/>
        <w:ind w:firstLine="720"/>
        <w:rPr>
          <w:rFonts w:ascii="Times New Roman" w:hAnsi="Times New Roman" w:cs="Times New Roman"/>
          <w:sz w:val="24"/>
          <w:szCs w:val="24"/>
        </w:rPr>
      </w:pPr>
      <w:r w:rsidRPr="008C2711">
        <w:rPr>
          <w:rFonts w:ascii="Times New Roman" w:hAnsi="Times New Roman" w:cs="Times New Roman"/>
          <w:sz w:val="24"/>
          <w:szCs w:val="24"/>
        </w:rPr>
        <w:t>One notable positive Tillingate Living Case Study is customer satisfaction. Health organizations must provide care based on the overall satisfaction of the patients. In other words, adequate care is aimed towards increasing the quality of care, quality of life, as well as the quality of services. On the same note, information on the competitors who occupy the market may also be essential upon the provision of care related to the preferences and needs of patients. Another positive from of Tillingate Living Case Study is upholding the voice of the customer (Eastman, 2012). In this context, healthcare facilities provide consider different needs as well to patients and stakeholders. With the use of face-to-face communication and electronic methods, customer focus is promoted. Customer engagement is an opportunity for any healthcare facility to improve its delivery of services. Attaining geographic and demographic information is essential because it will allow better providence of services. Patients who have been diagnosed with chronic conditions such as Alzheimer’s disease will benefit since care will be patient-centred. Also, customer engagement should be used as an opportunity to complement trends in healthcare. Healthcare provides able to apply insights and knowledge as they provide care. Better management is also another opportunity highlighted in the study. With effective management in healthcare facilities, it is easy to provide services that support the preferences and ne</w:t>
      </w:r>
      <w:r>
        <w:rPr>
          <w:rFonts w:ascii="Times New Roman" w:hAnsi="Times New Roman" w:cs="Times New Roman"/>
          <w:sz w:val="24"/>
          <w:szCs w:val="24"/>
        </w:rPr>
        <w:t>eds of clients in the community.</w:t>
      </w:r>
    </w:p>
    <w:tbl>
      <w:tblPr>
        <w:tblStyle w:val="TableGrid"/>
        <w:tblW w:w="0" w:type="auto"/>
        <w:tblLook w:val="04A0" w:firstRow="1" w:lastRow="0" w:firstColumn="1" w:lastColumn="0" w:noHBand="0" w:noVBand="1"/>
      </w:tblPr>
      <w:tblGrid>
        <w:gridCol w:w="4508"/>
        <w:gridCol w:w="4508"/>
      </w:tblGrid>
      <w:tr w:rsidR="004A3457" w:rsidRPr="004A3457" w:rsidTr="006F03F5">
        <w:tc>
          <w:tcPr>
            <w:tcW w:w="4508" w:type="dxa"/>
          </w:tcPr>
          <w:p w:rsidR="006F03F5" w:rsidRPr="00CC605B" w:rsidRDefault="006F03F5" w:rsidP="004A3457">
            <w:pPr>
              <w:spacing w:line="480" w:lineRule="auto"/>
              <w:rPr>
                <w:rFonts w:ascii="Times New Roman" w:hAnsi="Times New Roman" w:cs="Times New Roman"/>
                <w:b/>
                <w:sz w:val="24"/>
                <w:szCs w:val="24"/>
              </w:rPr>
            </w:pPr>
            <w:r w:rsidRPr="00CC605B">
              <w:rPr>
                <w:rFonts w:ascii="Times New Roman" w:hAnsi="Times New Roman" w:cs="Times New Roman"/>
                <w:b/>
                <w:sz w:val="24"/>
                <w:szCs w:val="24"/>
              </w:rPr>
              <w:t>Positives</w:t>
            </w:r>
          </w:p>
        </w:tc>
        <w:tc>
          <w:tcPr>
            <w:tcW w:w="4508" w:type="dxa"/>
          </w:tcPr>
          <w:p w:rsidR="006F03F5" w:rsidRPr="00CC605B" w:rsidRDefault="006F03F5" w:rsidP="004A3457">
            <w:pPr>
              <w:spacing w:line="480" w:lineRule="auto"/>
              <w:rPr>
                <w:rFonts w:ascii="Times New Roman" w:hAnsi="Times New Roman" w:cs="Times New Roman"/>
                <w:b/>
                <w:sz w:val="24"/>
                <w:szCs w:val="24"/>
              </w:rPr>
            </w:pPr>
            <w:r w:rsidRPr="00CC605B">
              <w:rPr>
                <w:rFonts w:ascii="Times New Roman" w:hAnsi="Times New Roman" w:cs="Times New Roman"/>
                <w:b/>
                <w:sz w:val="24"/>
                <w:szCs w:val="24"/>
              </w:rPr>
              <w:t>Opportunities</w:t>
            </w:r>
          </w:p>
        </w:tc>
      </w:tr>
      <w:tr w:rsidR="006F03F5" w:rsidRPr="004A3457" w:rsidTr="006F03F5">
        <w:tc>
          <w:tcPr>
            <w:tcW w:w="4508" w:type="dxa"/>
          </w:tcPr>
          <w:p w:rsidR="006F03F5" w:rsidRPr="004A3457" w:rsidRDefault="006F03F5" w:rsidP="004A3457">
            <w:pPr>
              <w:spacing w:line="480" w:lineRule="auto"/>
              <w:rPr>
                <w:rFonts w:ascii="Times New Roman" w:hAnsi="Times New Roman" w:cs="Times New Roman"/>
                <w:sz w:val="24"/>
                <w:szCs w:val="24"/>
              </w:rPr>
            </w:pPr>
            <w:r w:rsidRPr="004A3457">
              <w:rPr>
                <w:rFonts w:ascii="Times New Roman" w:hAnsi="Times New Roman" w:cs="Times New Roman"/>
                <w:sz w:val="24"/>
                <w:szCs w:val="24"/>
              </w:rPr>
              <w:t>Customer satisfaction</w:t>
            </w:r>
          </w:p>
        </w:tc>
        <w:tc>
          <w:tcPr>
            <w:tcW w:w="4508" w:type="dxa"/>
          </w:tcPr>
          <w:p w:rsidR="006F03F5" w:rsidRPr="004A3457" w:rsidRDefault="006F03F5" w:rsidP="004A3457">
            <w:pPr>
              <w:spacing w:line="480" w:lineRule="auto"/>
              <w:rPr>
                <w:rFonts w:ascii="Times New Roman" w:hAnsi="Times New Roman" w:cs="Times New Roman"/>
                <w:sz w:val="24"/>
                <w:szCs w:val="24"/>
              </w:rPr>
            </w:pPr>
            <w:r w:rsidRPr="004A3457">
              <w:rPr>
                <w:rFonts w:ascii="Times New Roman" w:hAnsi="Times New Roman" w:cs="Times New Roman"/>
                <w:sz w:val="24"/>
                <w:szCs w:val="24"/>
              </w:rPr>
              <w:t>Customer engagement</w:t>
            </w:r>
          </w:p>
        </w:tc>
      </w:tr>
      <w:tr w:rsidR="004A3457" w:rsidRPr="004A3457" w:rsidTr="005A690E">
        <w:trPr>
          <w:trHeight w:val="70"/>
        </w:trPr>
        <w:tc>
          <w:tcPr>
            <w:tcW w:w="4508" w:type="dxa"/>
          </w:tcPr>
          <w:p w:rsidR="006F03F5" w:rsidRPr="004A3457" w:rsidRDefault="006F03F5" w:rsidP="004A3457">
            <w:pPr>
              <w:spacing w:line="480" w:lineRule="auto"/>
              <w:rPr>
                <w:rFonts w:ascii="Times New Roman" w:hAnsi="Times New Roman" w:cs="Times New Roman"/>
                <w:sz w:val="24"/>
                <w:szCs w:val="24"/>
              </w:rPr>
            </w:pPr>
            <w:r w:rsidRPr="004A3457">
              <w:rPr>
                <w:rFonts w:ascii="Times New Roman" w:hAnsi="Times New Roman" w:cs="Times New Roman"/>
                <w:sz w:val="24"/>
                <w:szCs w:val="24"/>
              </w:rPr>
              <w:t>Voice of the customer</w:t>
            </w:r>
          </w:p>
        </w:tc>
        <w:tc>
          <w:tcPr>
            <w:tcW w:w="4508" w:type="dxa"/>
          </w:tcPr>
          <w:p w:rsidR="006F03F5" w:rsidRPr="004A3457" w:rsidRDefault="006F03F5" w:rsidP="004A3457">
            <w:pPr>
              <w:spacing w:line="480" w:lineRule="auto"/>
              <w:rPr>
                <w:rFonts w:ascii="Times New Roman" w:hAnsi="Times New Roman" w:cs="Times New Roman"/>
                <w:sz w:val="24"/>
                <w:szCs w:val="24"/>
              </w:rPr>
            </w:pPr>
            <w:r w:rsidRPr="004A3457">
              <w:rPr>
                <w:rFonts w:ascii="Times New Roman" w:hAnsi="Times New Roman" w:cs="Times New Roman"/>
                <w:sz w:val="24"/>
                <w:szCs w:val="24"/>
              </w:rPr>
              <w:t>Effective management</w:t>
            </w:r>
          </w:p>
        </w:tc>
      </w:tr>
    </w:tbl>
    <w:p w:rsidR="006F03F5" w:rsidRPr="004A3457" w:rsidRDefault="006F03F5" w:rsidP="004A3457">
      <w:pPr>
        <w:spacing w:line="480" w:lineRule="auto"/>
        <w:rPr>
          <w:rFonts w:ascii="Times New Roman" w:hAnsi="Times New Roman" w:cs="Times New Roman"/>
          <w:sz w:val="24"/>
          <w:szCs w:val="24"/>
        </w:rPr>
      </w:pPr>
    </w:p>
    <w:p w:rsidR="008C2711" w:rsidRDefault="008C2711" w:rsidP="004A3457">
      <w:pPr>
        <w:spacing w:line="480" w:lineRule="auto"/>
        <w:rPr>
          <w:rFonts w:ascii="Times New Roman" w:hAnsi="Times New Roman" w:cs="Times New Roman"/>
          <w:sz w:val="24"/>
          <w:szCs w:val="24"/>
        </w:rPr>
      </w:pPr>
    </w:p>
    <w:p w:rsidR="006F03F5" w:rsidRPr="004A3457" w:rsidRDefault="006F03F5" w:rsidP="008C2711">
      <w:pPr>
        <w:spacing w:line="480" w:lineRule="auto"/>
        <w:jc w:val="center"/>
        <w:rPr>
          <w:rFonts w:ascii="Times New Roman" w:hAnsi="Times New Roman" w:cs="Times New Roman"/>
          <w:sz w:val="24"/>
          <w:szCs w:val="24"/>
        </w:rPr>
      </w:pPr>
      <w:r w:rsidRPr="004A3457">
        <w:rPr>
          <w:rFonts w:ascii="Times New Roman" w:hAnsi="Times New Roman" w:cs="Times New Roman"/>
          <w:sz w:val="24"/>
          <w:szCs w:val="24"/>
        </w:rPr>
        <w:lastRenderedPageBreak/>
        <w:t>References</w:t>
      </w:r>
    </w:p>
    <w:p w:rsidR="005A690E" w:rsidRPr="004A3457" w:rsidRDefault="005A690E" w:rsidP="008C2711">
      <w:pPr>
        <w:spacing w:line="480" w:lineRule="auto"/>
        <w:ind w:left="720" w:hanging="720"/>
        <w:rPr>
          <w:rFonts w:ascii="Times New Roman" w:hAnsi="Times New Roman" w:cs="Times New Roman"/>
          <w:sz w:val="24"/>
          <w:szCs w:val="24"/>
          <w:shd w:val="clear" w:color="auto" w:fill="FFFFFF"/>
        </w:rPr>
      </w:pPr>
      <w:r w:rsidRPr="004A3457">
        <w:rPr>
          <w:rFonts w:ascii="Times New Roman" w:hAnsi="Times New Roman" w:cs="Times New Roman"/>
          <w:sz w:val="24"/>
          <w:szCs w:val="24"/>
          <w:shd w:val="clear" w:color="auto" w:fill="FFFFFF"/>
        </w:rPr>
        <w:t>Eastman, M. (2012). Tillingate Living Case Study 2012.</w:t>
      </w:r>
    </w:p>
    <w:p w:rsidR="006F03F5" w:rsidRPr="004A3457" w:rsidRDefault="005A690E" w:rsidP="008C2711">
      <w:pPr>
        <w:spacing w:line="480" w:lineRule="auto"/>
        <w:ind w:left="720" w:hanging="720"/>
        <w:rPr>
          <w:rFonts w:ascii="Times New Roman" w:hAnsi="Times New Roman" w:cs="Times New Roman"/>
          <w:sz w:val="24"/>
          <w:szCs w:val="24"/>
        </w:rPr>
      </w:pPr>
      <w:r w:rsidRPr="004A3457">
        <w:rPr>
          <w:rFonts w:ascii="Times New Roman" w:hAnsi="Times New Roman" w:cs="Times New Roman"/>
          <w:sz w:val="24"/>
          <w:szCs w:val="24"/>
          <w:shd w:val="clear" w:color="auto" w:fill="FFFFFF"/>
        </w:rPr>
        <w:t>Harrison, J. P., &amp; Association of University Programs in Health Administration. (2016). </w:t>
      </w:r>
      <w:r w:rsidRPr="004A3457">
        <w:rPr>
          <w:rFonts w:ascii="Times New Roman" w:hAnsi="Times New Roman" w:cs="Times New Roman"/>
          <w:i/>
          <w:iCs/>
          <w:sz w:val="24"/>
          <w:szCs w:val="24"/>
          <w:shd w:val="clear" w:color="auto" w:fill="FFFFFF"/>
        </w:rPr>
        <w:t>Essentials of strategic planning in healthcare</w:t>
      </w:r>
      <w:r w:rsidRPr="004A3457">
        <w:rPr>
          <w:rFonts w:ascii="Times New Roman" w:hAnsi="Times New Roman" w:cs="Times New Roman"/>
          <w:sz w:val="24"/>
          <w:szCs w:val="24"/>
          <w:shd w:val="clear" w:color="auto" w:fill="FFFFFF"/>
        </w:rPr>
        <w:t> (Vol. 1). Chicago, IL: Health Administration Press.</w:t>
      </w:r>
    </w:p>
    <w:sectPr w:rsidR="006F03F5" w:rsidRPr="004A3457" w:rsidSect="004A345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62C" w:rsidRDefault="00B7762C" w:rsidP="004A3457">
      <w:pPr>
        <w:spacing w:after="0" w:line="240" w:lineRule="auto"/>
      </w:pPr>
      <w:r>
        <w:separator/>
      </w:r>
    </w:p>
  </w:endnote>
  <w:endnote w:type="continuationSeparator" w:id="0">
    <w:p w:rsidR="00B7762C" w:rsidRDefault="00B7762C" w:rsidP="004A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62C" w:rsidRDefault="00B7762C" w:rsidP="004A3457">
      <w:pPr>
        <w:spacing w:after="0" w:line="240" w:lineRule="auto"/>
      </w:pPr>
      <w:r>
        <w:separator/>
      </w:r>
    </w:p>
  </w:footnote>
  <w:footnote w:type="continuationSeparator" w:id="0">
    <w:p w:rsidR="00B7762C" w:rsidRDefault="00B7762C" w:rsidP="004A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31018185"/>
      <w:docPartObj>
        <w:docPartGallery w:val="Page Numbers (Top of Page)"/>
        <w:docPartUnique/>
      </w:docPartObj>
    </w:sdtPr>
    <w:sdtEndPr>
      <w:rPr>
        <w:noProof/>
      </w:rPr>
    </w:sdtEndPr>
    <w:sdtContent>
      <w:p w:rsidR="004A3457" w:rsidRPr="004A3457" w:rsidRDefault="004A3457" w:rsidP="004A3457">
        <w:pPr>
          <w:pStyle w:val="Header"/>
          <w:spacing w:line="480" w:lineRule="auto"/>
          <w:rPr>
            <w:rFonts w:ascii="Times New Roman" w:hAnsi="Times New Roman" w:cs="Times New Roman"/>
            <w:sz w:val="24"/>
            <w:szCs w:val="24"/>
          </w:rPr>
        </w:pPr>
        <w:r w:rsidRPr="004A3457">
          <w:rPr>
            <w:rFonts w:ascii="Times New Roman" w:hAnsi="Times New Roman" w:cs="Times New Roman"/>
            <w:sz w:val="24"/>
            <w:szCs w:val="24"/>
          </w:rPr>
          <w:t>CUSTOMER FOCUS</w:t>
        </w:r>
        <w:r>
          <w:rPr>
            <w:rFonts w:ascii="Times New Roman" w:hAnsi="Times New Roman" w:cs="Times New Roman"/>
            <w:sz w:val="24"/>
            <w:szCs w:val="24"/>
          </w:rPr>
          <w:t xml:space="preserve">                                                                                                                </w:t>
        </w:r>
        <w:r w:rsidRPr="004A3457">
          <w:rPr>
            <w:rFonts w:ascii="Times New Roman" w:hAnsi="Times New Roman" w:cs="Times New Roman"/>
            <w:sz w:val="24"/>
            <w:szCs w:val="24"/>
          </w:rPr>
          <w:fldChar w:fldCharType="begin"/>
        </w:r>
        <w:r w:rsidRPr="004A3457">
          <w:rPr>
            <w:rFonts w:ascii="Times New Roman" w:hAnsi="Times New Roman" w:cs="Times New Roman"/>
            <w:sz w:val="24"/>
            <w:szCs w:val="24"/>
          </w:rPr>
          <w:instrText xml:space="preserve"> PAGE   \* MERGEFORMAT </w:instrText>
        </w:r>
        <w:r w:rsidRPr="004A3457">
          <w:rPr>
            <w:rFonts w:ascii="Times New Roman" w:hAnsi="Times New Roman" w:cs="Times New Roman"/>
            <w:sz w:val="24"/>
            <w:szCs w:val="24"/>
          </w:rPr>
          <w:fldChar w:fldCharType="separate"/>
        </w:r>
        <w:r w:rsidR="005D477B">
          <w:rPr>
            <w:rFonts w:ascii="Times New Roman" w:hAnsi="Times New Roman" w:cs="Times New Roman"/>
            <w:noProof/>
            <w:sz w:val="24"/>
            <w:szCs w:val="24"/>
          </w:rPr>
          <w:t>2</w:t>
        </w:r>
        <w:r w:rsidRPr="004A3457">
          <w:rPr>
            <w:rFonts w:ascii="Times New Roman" w:hAnsi="Times New Roman" w:cs="Times New Roman"/>
            <w:noProof/>
            <w:sz w:val="24"/>
            <w:szCs w:val="24"/>
          </w:rPr>
          <w:fldChar w:fldCharType="end"/>
        </w:r>
      </w:p>
    </w:sdtContent>
  </w:sdt>
  <w:p w:rsidR="004A3457" w:rsidRPr="004A3457" w:rsidRDefault="004A3457" w:rsidP="004A345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457" w:rsidRPr="004A3457" w:rsidRDefault="004A3457" w:rsidP="004A3457">
    <w:pPr>
      <w:pStyle w:val="Header"/>
      <w:spacing w:line="480" w:lineRule="auto"/>
      <w:rPr>
        <w:rFonts w:ascii="Times New Roman" w:hAnsi="Times New Roman" w:cs="Times New Roman"/>
        <w:sz w:val="24"/>
        <w:szCs w:val="24"/>
      </w:rPr>
    </w:pPr>
    <w:r w:rsidRPr="004A3457">
      <w:rPr>
        <w:rFonts w:ascii="Times New Roman" w:hAnsi="Times New Roman" w:cs="Times New Roman"/>
        <w:sz w:val="24"/>
        <w:szCs w:val="24"/>
      </w:rPr>
      <w:t>Running head: CUSTOMER FOCUS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3B"/>
    <w:rsid w:val="00106EB2"/>
    <w:rsid w:val="00191540"/>
    <w:rsid w:val="003721F3"/>
    <w:rsid w:val="003B6F36"/>
    <w:rsid w:val="003C7E21"/>
    <w:rsid w:val="00463467"/>
    <w:rsid w:val="004A3457"/>
    <w:rsid w:val="004D7412"/>
    <w:rsid w:val="00535B31"/>
    <w:rsid w:val="005A690E"/>
    <w:rsid w:val="005D477B"/>
    <w:rsid w:val="006C1E57"/>
    <w:rsid w:val="006F03F5"/>
    <w:rsid w:val="00765DA3"/>
    <w:rsid w:val="008C2711"/>
    <w:rsid w:val="0099069C"/>
    <w:rsid w:val="009F4198"/>
    <w:rsid w:val="00A50692"/>
    <w:rsid w:val="00A57294"/>
    <w:rsid w:val="00A6677E"/>
    <w:rsid w:val="00AD533B"/>
    <w:rsid w:val="00B7762C"/>
    <w:rsid w:val="00B81B82"/>
    <w:rsid w:val="00BB6EF2"/>
    <w:rsid w:val="00BF01F9"/>
    <w:rsid w:val="00BF199D"/>
    <w:rsid w:val="00CB62F6"/>
    <w:rsid w:val="00CC605B"/>
    <w:rsid w:val="00D405CB"/>
    <w:rsid w:val="00DD4687"/>
    <w:rsid w:val="00EC7F1A"/>
    <w:rsid w:val="00F04E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DA7AE-640C-4DB6-872B-7685668F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0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4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457"/>
  </w:style>
  <w:style w:type="paragraph" w:styleId="Footer">
    <w:name w:val="footer"/>
    <w:basedOn w:val="Normal"/>
    <w:link w:val="FooterChar"/>
    <w:uiPriority w:val="99"/>
    <w:unhideWhenUsed/>
    <w:rsid w:val="004A34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2</cp:revision>
  <dcterms:created xsi:type="dcterms:W3CDTF">2019-11-12T18:10:00Z</dcterms:created>
  <dcterms:modified xsi:type="dcterms:W3CDTF">2019-11-12T18:10:00Z</dcterms:modified>
</cp:coreProperties>
</file>